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B2B Trust Readiness Navigator</w:t>
      </w:r>
    </w:p>
    <w:p>
      <w:pPr>
        <w:pStyle w:val="Subtitle"/>
      </w:pPr>
      <w:r>
        <w:t>50 buyer questions → spot uncertainty → choose 3 next steps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00A6C8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ORIENT • MARK • RED FLAGS • ACT</w:t>
            </w:r>
          </w:p>
        </w:tc>
      </w:tr>
    </w:tbl>
    <w:p>
      <w:pPr>
        <w:pStyle w:val="Heading1"/>
      </w:pPr>
      <w:r>
        <w:t>You do not need 50 perfect answers today.</w:t>
      </w:r>
    </w:p>
    <w:p>
      <w:r>
        <w:t>You need visibility: what is defensible, what is only assumed, what is open—and which three actions reduce the largest buyer and trust risk?</w:t>
      </w:r>
    </w:p>
    <w:p>
      <w:pPr>
        <w:pStyle w:val="Heading2"/>
      </w:pPr>
      <w:r>
        <w:t>20-minute quick scan plus validation</w:t>
      </w:r>
    </w:p>
    <w:p>
      <w:pPr>
        <w:pStyle w:val="Heading3"/>
      </w:pPr>
      <w:r>
        <w:t>1 • Quick scan (20 min)</w:t>
      </w:r>
    </w:p>
    <w:p>
      <w:r>
        <w:t>Mark all 50 questions only as B, P, O or N/A. Do not research yet; add notes only for red flags.</w:t>
      </w:r>
    </w:p>
    <w:p>
      <w:pPr>
        <w:pStyle w:val="Heading3"/>
      </w:pPr>
      <w:r>
        <w:t>2 • Validation (60–120 min)</w:t>
      </w:r>
    </w:p>
    <w:p>
      <w:r>
        <w:t>Review the three most important gaps with the responsible roles. Verify statements, contracts, settings and evidence at this stage.</w:t>
      </w:r>
    </w:p>
    <w:p>
      <w:pPr>
        <w:pStyle w:val="Heading3"/>
      </w:pPr>
      <w:r>
        <w:t>3 • Act</w:t>
      </w:r>
    </w:p>
    <w:p>
      <w:r>
        <w:t>Set exactly three next steps with owner, due date, completion criterion and expected evidence.</w:t>
      </w:r>
    </w:p>
    <w:p>
      <w:r>
        <w:t>Not an audit, certification, legal advice or compliance guarantee. Answers must match your real product and contracts.</w:t>
      </w:r>
    </w:p>
    <w:p>
      <w:r>
        <w:br w:type="page"/>
      </w:r>
    </w:p>
    <w:p>
      <w:pPr>
        <w:pStyle w:val="Title"/>
      </w:pPr>
      <w:r>
        <w:t>Your orientation logic</w:t>
      </w:r>
    </w:p>
    <w:p>
      <w:pPr>
        <w:pStyle w:val="Heading1"/>
      </w:pPr>
      <w:r>
        <w:t>Status is not a grade</w:t>
      </w:r>
    </w:p>
    <w:p>
      <w:pPr>
        <w:pStyle w:val="Heading3"/>
      </w:pPr>
      <w:r>
        <w:t>B — backed</w:t>
      </w:r>
    </w:p>
    <w:p>
      <w:r>
        <w:t>Specific statement + current basis + owner.</w:t>
      </w:r>
    </w:p>
    <w:p>
      <w:pPr>
        <w:pStyle w:val="Heading3"/>
      </w:pPr>
      <w:r>
        <w:t>P — partial</w:t>
      </w:r>
    </w:p>
    <w:p>
      <w:r>
        <w:t>Some elements Release v1.0, but scope, evidence or approval is missing.</w:t>
      </w:r>
    </w:p>
    <w:p>
      <w:pPr>
        <w:pStyle w:val="Heading3"/>
      </w:pPr>
      <w:r>
        <w:t>O — open</w:t>
      </w:r>
    </w:p>
    <w:p>
      <w:r>
        <w:t>Do not guess. Track as uncertainty with a next step.</w:t>
      </w:r>
    </w:p>
    <w:p>
      <w:pPr>
        <w:pStyle w:val="Heading3"/>
      </w:pPr>
      <w:r>
        <w:t>N/A</w:t>
      </w:r>
    </w:p>
    <w:p>
      <w:r>
        <w:t>Add a short rationale; revisit when the product changes.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C23B3B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RED FLAG ≠ FAILURE. RED FLAG = NO EXTERNAL CLAIM UNTIL RESOLVED.</w:t>
            </w:r>
          </w:p>
        </w:tc>
      </w:tr>
    </w:tbl>
    <w:p>
      <w:r>
        <w:t>Prioritise now: unknown AI/data recipient; unrestricted support/admin access; deletion promise without backup/log exception; “compliant”, “secure” or “EU-only” without basis; critical provider without an outage route.</w:t>
      </w:r>
    </w:p>
    <w:p>
      <w:r>
        <w:br w:type="page"/>
      </w:r>
    </w:p>
    <w:p>
      <w:pPr>
        <w:pStyle w:val="Title"/>
      </w:pPr>
      <w:r>
        <w:t>1. Data flows &amp; processing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Why buyers ask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Data scope, purpose and routes drive risk, contracts and review effort.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Inputs needed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Product/data inventory, architecture, providers and environments.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Defensible answer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Purpose + data type + system/location + recipient + deletion; current and evidenced.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Dangerous shortcut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Name only the main database; omit support, logs, backups or AI routes.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Later use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Basis for a data-flow view, DPA, deletion and subprocessor statements.</w:t>
            </w:r>
          </w:p>
        </w:tc>
      </w:tr>
    </w:tbl>
    <w:p>
      <w:pPr>
        <w:pStyle w:val="Heading2"/>
      </w:pPr>
      <w:r>
        <w:t>Mark the questions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Buyer question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Note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What customer data does your product actually process—and why?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data is essential and which is optional?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Where is personal data created, stored or changed?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data leaves the EU or EEA?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Can test, demo or support work access real customer data?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do you document key data flows for buyers, privacy and security review?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2. AI/LLM use &amp; transparency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Why buyers ask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AI changes data disclosure, failure modes and accountability.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Inputs needed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Feature list, model/provider, prompt context, training/retention and human gates.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Defensible answer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Per feature: input data, provider, output, control, boundary and fallback.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Dangerous shortcut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Say “we use AI safely” without provider terms or real control points.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Later use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Basis for an AI disclosure and defensible product/marketing claims.</w:t>
            </w:r>
          </w:p>
        </w:tc>
      </w:tr>
    </w:tbl>
    <w:p>
      <w:pPr>
        <w:pStyle w:val="Heading2"/>
      </w:pPr>
      <w:r>
        <w:t>Mark the questions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Buyer question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Note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AI/LLM features are part of the product?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customer data is sent to AI/LLM providers?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Are prompts, files, outputs or usage data used for training?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do you distinguish AI, automation and human review for buyers?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human approvals or control points cover high-impact AI outputs?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do you handle hallucinations, incorrect advice and uncertain outputs?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3. Access, roles &amp; permissions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Why buyers ask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Unclear rights and privileged access increase misuse and insider risk.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Inputs needed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Role model, IAM configuration, joiner/mover/leaver and support process.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Defensible answer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Roles, rights, approval, MFA, review, logging and removal align.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Dangerous shortcut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Use “only the core team has access” instead of technical restriction.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Later use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Basis for access matrix, support statement and buyer questionnaires.</w:t>
            </w:r>
          </w:p>
        </w:tc>
      </w:tr>
    </w:tbl>
    <w:p>
      <w:pPr>
        <w:pStyle w:val="Heading2"/>
      </w:pPr>
      <w:r>
        <w:t>Mark the questions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Buyer question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Note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roles and permissions exist?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Can customers understand who can access which data?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is privileged administrator access controlled?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Is MFA available for admin and customer accounts?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are leavers and former contractors removed?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is support access restricted and logged?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4. Logging, traceability &amp; operations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Why buyers ask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Without logs and an operating route, incidents and promises are not traceable.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Inputs needed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Log sources, retention, alerting, incident route and status/SLA data.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Defensible answer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Event, source, access, period, alert and owner are named.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Dangerous shortcut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Promise more logging than you review or protect.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Later use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Basis for incident, monitoring and operational answers.</w:t>
            </w:r>
          </w:p>
        </w:tc>
      </w:tr>
    </w:tbl>
    <w:p>
      <w:pPr>
        <w:pStyle w:val="Heading2"/>
      </w:pPr>
      <w:r>
        <w:t>Mark the questions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Buyer question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Note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19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security-relevant events are logged?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long are logs retained?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Can customers trace their own activity or exports?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do you detect abuse, unusual usage or data leakage?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are incidents documented and prioritised?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operational metrics or status information can buyers expect?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5. Subprocessors, hosting &amp; supply chain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Why buyers ask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Third parties determine location, availability, privacy and concentration risk.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Inputs needed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Current provider list, purposes, regions, contracts, evidence and change route.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Defensible answer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Each provider has purpose, data, location, criticality, evidence and change route.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Dangerous shortcut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Name cloud hosting only; forget AI, email, analytics and support tools.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Later use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Basis for subprocessor list, diligence and exit priorities.</w:t>
            </w:r>
          </w:p>
        </w:tc>
      </w:tr>
    </w:tbl>
    <w:p>
      <w:pPr>
        <w:pStyle w:val="Heading2"/>
      </w:pPr>
      <w:r>
        <w:t>Mark the questions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Buyer question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Note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subprocessors do you use?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What purpose does each subprocessor serve?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Where are hosting, backups, logging and AI processing located?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DPAs or security evidence are available from key providers?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29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are customers informed about new or changed subprocessors?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providers would be critical if unavailable or compromised?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6. Deletion, retention &amp; portability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Why buyers ask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Customers need to know what is exported, deleted or lawfully retained.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Inputs needed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Data classes, systems, periods, backup cycles and export/deletion tests.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Defensible answer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Period and exception per data class; owner, process and evidence are testable.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Dangerous shortcut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Say “everything is deleted immediately” despite backups, logs or duties.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Later use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Basis for offboarding, retention schedule and defensible DPA answers.</w:t>
            </w:r>
          </w:p>
        </w:tc>
      </w:tr>
    </w:tbl>
    <w:p>
      <w:pPr>
        <w:pStyle w:val="Heading2"/>
      </w:pPr>
      <w:r>
        <w:t>Mark the questions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Buyer question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Note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can customers export their data?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does deletion work after contract end?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data remains in backups, logs or billing systems?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retention periods apply to product data, support data, logs and AI context?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is deletion evidenced technically and organisationally?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Are owners clear for deletion requests?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7. Security baseline &amp; technical measures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Why buyers ask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Buyers want a credible baseline, not certification rhetoric.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Inputs needed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Configuration, backup/restore test, secrets, patch and vulnerability process.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Defensible answer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Implemented + owner + frequency + latest evidence + known boundary.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Dangerous shortcut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Present tool names or planned measures as effective controls.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Later use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Basis for security overview and prioritised technical improvements.</w:t>
            </w:r>
          </w:p>
        </w:tc>
      </w:tr>
    </w:tbl>
    <w:p>
      <w:pPr>
        <w:pStyle w:val="Heading2"/>
      </w:pPr>
      <w:r>
        <w:t>Mark the questions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Buyer question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Note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is data protected in transit and at rest?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backup and restore procedures exist?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39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are secrets, API keys and credentials managed?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How are dependencies, libraries and vulnerabilities monitored?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41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Is there a process for security updates and critical patches?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42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minimum measures can you credibly describe today without overclaiming?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8. Buyer questions, claims &amp; next steps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Why buyers ask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Conflicting claims slow sales and create liability and trust risk.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Inputs needed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Current answers, claims, documents, deal dates and owners.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Defensible answer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Openness is prioritised; every external statement has basis, owner and approval.</w:t>
            </w:r>
          </w:p>
        </w:tc>
      </w:tr>
      <w:tr>
        <w:tc>
          <w:tcPr>
            <w:tcW w:type="dxa" w:w="2381"/>
            <w:shd w:fill="FDECEC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C23B3B"/>
                <w:sz w:val="16"/>
              </w:rPr>
              <w:t>Dangerous shortcut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Hide gaps or cover them with “compliant/secure”.</w:t>
            </w:r>
          </w:p>
        </w:tc>
      </w:tr>
      <w:tr>
        <w:tc>
          <w:tcPr>
            <w:tcW w:type="dxa" w:w="2381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6"/>
              </w:rPr>
              <w:t>Later use</w:t>
            </w:r>
          </w:p>
        </w:tc>
        <w:tc>
          <w:tcPr>
            <w:tcW w:type="dxa" w:w="748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Basis for three next steps, safe sales answers and upgrade decision.</w:t>
            </w:r>
          </w:p>
        </w:tc>
      </w:tr>
    </w:tbl>
    <w:p>
      <w:pPr>
        <w:pStyle w:val="Heading2"/>
      </w:pPr>
      <w:r>
        <w:t>Mark the questions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567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#</w:t>
            </w:r>
          </w:p>
        </w:tc>
        <w:tc>
          <w:tcPr>
            <w:tcW w:type="dxa" w:w="6690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Buyer question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361"/>
            <w:shd w:fill="102A43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16"/>
              </w:rPr>
              <w:t>Note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43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B2B buyer security questions can you answer safely today?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44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questions must honestly remain open?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45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marketing claims may go too far?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46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materials are missing for a first procurement or privacy review?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47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three gaps should be closed or covered by a clear interim answer before the next buyer conversation?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48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next trust step creates the strongest sales benefit at lowest risk?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49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statement would you give an enterprise buyer in writing—and which would you avoid?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  <w:tr>
        <w:tc>
          <w:tcPr>
            <w:tcW w:type="dxa" w:w="567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00A6C8"/>
                <w:sz w:val="16"/>
              </w:rPr>
              <w:t>50</w:t>
            </w:r>
          </w:p>
        </w:tc>
        <w:tc>
          <w:tcPr>
            <w:tcW w:type="dxa" w:w="6690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Which trust materials must be ready before the next major sales conversation?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6"/>
              </w:rPr>
              <w:t>[ ] B  [ ] P</w:t>
              <w:br/>
              <w:t>[ ] O  [ ] N/A</w:t>
            </w:r>
          </w:p>
        </w:tc>
        <w:tc>
          <w:tcPr>
            <w:tcW w:type="dxa" w:w="1361"/>
            <w:tcMar>
              <w:top w:w="55" w:type="dxa"/>
              <w:start w:w="70" w:type="dxa"/>
              <w:bottom w:w="55" w:type="dxa"/>
              <w:end w:w="70" w:type="dxa"/>
            </w:tcMar>
            <w:shd w:fill="F3F7F9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52667A"/>
                <w:sz w:val="16"/>
              </w:rPr>
              <w:t>________________</w:t>
            </w:r>
          </w:p>
        </w:tc>
      </w:tr>
    </w:tbl>
    <w:p>
      <w:r>
        <w:br w:type="page"/>
      </w:r>
    </w:p>
    <w:p>
      <w:pPr>
        <w:pStyle w:val="Title"/>
      </w:pPr>
      <w:r>
        <w:t>Action Sheet — next steps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00A6C8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From open questions to three feasible steps in 15 minutes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Trigger / next buyer conversation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Count B / P / O / N/A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Most important scan pattern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Biggest uncertainty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Claim we will not use until verified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</w:tbl>
    <w:p>
      <w:pPr>
        <w:pStyle w:val="Heading1"/>
      </w:pPr>
      <w:r>
        <w:t>Top three next steps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1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2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3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pPr>
        <w:pStyle w:val="Heading2"/>
      </w:pPr>
      <w:r>
        <w:t>Decision rule</w:t>
      </w:r>
    </w:p>
    <w:p>
      <w:r>
        <w:t>STOP: pause external claims when a data route, provider term or control evidence is unknown. CAUTION: label the gap and set owner/date. GO: answer only when specific, current and evidenced.</w:t>
      </w:r>
    </w:p>
    <w:p>
      <w:r>
        <w:t>Review date: __________  Approver: __________  Buyer answer updated: __________</w:t>
      </w:r>
    </w:p>
    <w:p>
      <w:r>
        <w:br w:type="page"/>
      </w:r>
    </w:p>
    <w:p>
      <w:pPr>
        <w:pStyle w:val="Title"/>
      </w:pPr>
      <w:r>
        <w:t>Completed fictional example — CloudKite AI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35B779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FICTIONAL — not a real company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Trigger / next buyer conversation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Vendor review with MedicoWorks, 30 July 2026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Count B / P / O / N/A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18 / 17 / 13 / 2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Most important scan pattern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LLM-provider and support-access data flows are not consolidated.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Biggest uncertainty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Whether prompt/output retention is disabled under the current provider terms.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Claim we will not use until verified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“EU-only processing”</w:t>
            </w:r>
          </w:p>
        </w:tc>
      </w:tr>
    </w:tbl>
    <w:p>
      <w:pPr>
        <w:pStyle w:val="Heading1"/>
      </w:pPr>
      <w:r>
        <w:t>Top three next steps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1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AI retention under the current provider terms is unclear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An incorrect statement about prompt use could stop the vendor review.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Review the DPA and admin setting together; draft an approvable statement.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Mira / CTO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17 Jul 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CTO reviewed the statement and the buyer-answer set was updated.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DPA v3.2 + dated screenshot of the admin setting.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2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Support access is not consistently logged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Unevidenced privileged access is a concrete buyer and incident risk.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 JIT access with a ticket ID in staging and update the procedure.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Jonas / Engineering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22 Jul 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 passed; ticket, approval and log chain are traceable.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TEST-LOG-014 + procedure SUP-02 v0.3.</w:t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3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Backup deletion is not explained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 blanket deletion promise is not defensible without a backup exception.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Document backup cycles and exceptions; bound the buyer answer.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Mira / CTO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24 Jul 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Retention answer approved and added to the DPA FAQ.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Retention table v0.1 + review note dated 24 Jul 2026.</w:t>
            </w:r>
          </w:p>
        </w:tc>
      </w:tr>
    </w:tbl>
    <w:p/>
    <w:p>
      <w:pPr>
        <w:pStyle w:val="Heading2"/>
      </w:pPr>
      <w:r>
        <w:t>Decision rule</w:t>
      </w:r>
    </w:p>
    <w:p>
      <w:r>
        <w:t>STOP: pause external claims when a data route, provider term or control evidence is unknown. CAUTION: label the gap and set owner/date. GO: answer only when specific, current and evidenced.</w:t>
      </w:r>
    </w:p>
    <w:p>
      <w:r>
        <w:t>30-day result: AI disclosure v0.1, logged support access and a defensible retention answer; no compliance claim.</w:t>
      </w:r>
    </w:p>
    <w:p>
      <w:r>
        <w:br w:type="page"/>
      </w:r>
    </w:p>
    <w:p>
      <w:pPr>
        <w:pStyle w:val="Title"/>
      </w:pPr>
      <w:r>
        <w:t>If you want to go further</w:t>
      </w:r>
    </w:p>
    <w:p>
      <w:r>
        <w:t>Optional orientation: if your three actions mainly concern scope, responsibilities and defensible working structures, the ISMS Scope &amp; Governance Starter Kit, with an intended price of EUR 199, may be a suitable self-service step. This VERSION 1.0 Release v1.0 does not claim that the kit is currently available. It structures the start but does not replace case-specific review or advice.</w:t>
      </w:r>
    </w:p>
    <w:p>
      <w:pPr>
        <w:pStyle w:val="Heading1"/>
      </w:pPr>
      <w:r>
        <w:t>Before sharing</w:t>
      </w:r>
    </w:p>
    <w:p>
      <w:pPr>
        <w:pStyle w:val="ListBullet"/>
      </w:pPr>
      <w:r>
        <w:t>Use only confirmed statements externally.</w:t>
      </w:r>
    </w:p>
    <w:p>
      <w:pPr>
        <w:pStyle w:val="ListBullet"/>
      </w:pPr>
      <w:r>
        <w:t>Keep open items visible; do not close them cosmetically.</w:t>
      </w:r>
    </w:p>
    <w:p>
      <w:pPr>
        <w:pStyle w:val="ListBullet"/>
      </w:pPr>
      <w:r>
        <w:t>Redact confidential architecture, customer and access data.</w:t>
      </w:r>
    </w:p>
    <w:p>
      <w:pPr>
        <w:pStyle w:val="ListBullet"/>
      </w:pPr>
      <w:r>
        <w:t>Add owner and last-updated date.</w:t>
      </w:r>
    </w:p>
    <w:p>
      <w:r>
        <w:t>A-R-C Andreas Rühl Consulting · SaaS Enablement Consulting · a.ruehl@a-r-c.me · www.a-r-c.me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79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VERSION 1.0 • Release v1.0 • release version  |  a.ruehl@a-r-c.me  |  www.a-r-c.me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rPr>
        <w:color w:val="102A43"/>
      </w:rPr>
      <w:t>A–R–C  |  SaaS Enablement Consulting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Liberation Sans" w:hAnsi="Liberation Sans"/>
      <w:color w:val="243B53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10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102A43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00A6C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 w:ascii="Liberation Sans" w:hAnsi="Liberation Sans"/>
      <w:b/>
      <w:bCs/>
      <w:color w:val="35B779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160"/>
      <w:contextualSpacing/>
    </w:pPr>
    <w:rPr>
      <w:rFonts w:asciiTheme="majorHAnsi" w:eastAsiaTheme="majorEastAsia" w:hAnsiTheme="majorHAnsi" w:cstheme="majorBidi" w:ascii="Liberation Sans" w:hAnsi="Liberation Sans"/>
      <w:b/>
      <w:color w:val="102A43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ISMS Governance Readiness Navigator v1.0</dc:title>
  <dc:subject>50 buyer questions → spot uncertainty → choose 3 next steps</dc:subject>
  <dc:creator>python-docx</dc:creator>
  <cp:keywords/>
  <dc:description>Release-clean buyer version</dc:description>
  <cp:lastModifiedBy/>
  <cp:revision>1</cp:revision>
  <dcterms:created xsi:type="dcterms:W3CDTF">2026-07-12T00:00:00Z</dcterms:created>
  <dcterms:modified xsi:type="dcterms:W3CDTF">2026-07-12T00:00:00Z</dcterms:modified>
  <cp:category/>
  <dc:language>en-US</dc:language>
</cp:coreProperties>
</file>