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B2B Trust Readiness Navigator</w:t>
      </w:r>
    </w:p>
    <w:p>
      <w:pPr>
        <w:pStyle w:val="Subtitle"/>
      </w:pPr>
      <w:r>
        <w:t>50 Käuferfragen → Unsicherheiten erkennen → 3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ORIENTIERUNG • MARKIEREN • RED FLAGS • HANDELN</w:t>
            </w:r>
          </w:p>
        </w:tc>
      </w:tr>
    </w:tbl>
    <w:p>
      <w:pPr>
        <w:pStyle w:val="Heading1"/>
      </w:pPr>
      <w:r>
        <w:t>Sie brauchen heute keine 50 perfekten Antworten.</w:t>
      </w:r>
    </w:p>
    <w:p>
      <w:r>
        <w:t>Sie brauchen Sichtbarkeit: Was ist belastbar, was nur vermutet, was offen — und welche drei Schritte reduzieren das größte Käufer- und Vertrauensrisiko?</w:t>
      </w:r>
    </w:p>
    <w:p>
      <w:pPr>
        <w:pStyle w:val="Heading2"/>
      </w:pPr>
      <w:r>
        <w:t>20-Minuten-Schnellscan plus Validierung</w:t>
      </w:r>
    </w:p>
    <w:p>
      <w:pPr>
        <w:pStyle w:val="Heading3"/>
      </w:pPr>
      <w:r>
        <w:t>1 • Schnellscan (20 Min.)</w:t>
      </w:r>
    </w:p>
    <w:p>
      <w:r>
        <w:t>Alle 50 Fragen nur mit B, T, O oder N/A markieren. Noch nicht recherchieren; Notizen nur bei Red Flags.</w:t>
      </w:r>
    </w:p>
    <w:p>
      <w:pPr>
        <w:pStyle w:val="Heading3"/>
      </w:pPr>
      <w:r>
        <w:t>2 • Validierung (60–120 Min.)</w:t>
      </w:r>
    </w:p>
    <w:p>
      <w:r>
        <w:t>Die drei wichtigsten Lücken mit den zuständigen Rollen prüfen. Aussagen, Verträge, Einstellungen und Nachweise erst jetzt verifizieren.</w:t>
      </w:r>
    </w:p>
    <w:p>
      <w:pPr>
        <w:pStyle w:val="Heading3"/>
      </w:pPr>
      <w:r>
        <w:t>3 • Handeln</w:t>
      </w:r>
    </w:p>
    <w:p>
      <w:r>
        <w:t>Genau drei nächste Schritte mit verantwortlicher Rolle, Termin, Abnahmekriterium und erwartetem Nachweis festlegen.</w:t>
      </w:r>
    </w:p>
    <w:p>
      <w:r>
        <w:t>Kein Audit, keine Zertifizierung, keine Rechtsberatung und keine Compliance-Garantie. Antworten müssen zu Ihrem realen Produkt und Vertrag passen.</w:t>
      </w:r>
    </w:p>
    <w:p>
      <w:r>
        <w:br w:type="page"/>
      </w:r>
    </w:p>
    <w:p>
      <w:pPr>
        <w:pStyle w:val="Title"/>
      </w:pPr>
      <w:r>
        <w:t>Ihre Orientierungslogik</w:t>
      </w:r>
    </w:p>
    <w:p>
      <w:pPr>
        <w:pStyle w:val="Heading1"/>
      </w:pPr>
      <w:r>
        <w:t>Status ist keine Schulnote</w:t>
      </w:r>
    </w:p>
    <w:p>
      <w:pPr>
        <w:pStyle w:val="Heading3"/>
      </w:pPr>
      <w:r>
        <w:t>B — beantwortbar</w:t>
      </w:r>
    </w:p>
    <w:p>
      <w:r>
        <w:t>Konkrete Aussage + aktuelle Basis + Owner.</w:t>
      </w:r>
    </w:p>
    <w:p>
      <w:pPr>
        <w:pStyle w:val="Heading3"/>
      </w:pPr>
      <w:r>
        <w:t>T — teilweise</w:t>
      </w:r>
    </w:p>
    <w:p>
      <w:r>
        <w:t>Teile stimmen, aber Scope, Beleg oder Freigabe fehlt.</w:t>
      </w:r>
    </w:p>
    <w:p>
      <w:pPr>
        <w:pStyle w:val="Heading3"/>
      </w:pPr>
      <w:r>
        <w:t>O — offen</w:t>
      </w:r>
    </w:p>
    <w:p>
      <w:r>
        <w:t>Nicht raten. Als Unsicherheit mit nächstem Schritt führen.</w:t>
      </w:r>
    </w:p>
    <w:p>
      <w:pPr>
        <w:pStyle w:val="Heading3"/>
      </w:pPr>
      <w:r>
        <w:t>N/A</w:t>
      </w:r>
    </w:p>
    <w:p>
      <w:r>
        <w:t>Nur mit kurzer Begründung; bei Produktänderung erneut prüfen.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C23B3B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RED FLAG ≠ VERSAGEN. RED FLAG = KEINE EXTERNE AUSSAGE OHNE KLÄRUNG.</w:t>
            </w:r>
          </w:p>
        </w:tc>
      </w:tr>
    </w:tbl>
    <w:p>
      <w:r>
        <w:t>Sofort priorisieren: unbekannter AI-/Datenempfänger; Support/Adminzugriff ohne Begrenzung; Löschversprechen ohne Backup-/Log-Ausnahme; „compliant“, „secure“, „EU-only“ ohne passende Basis; kritischer Provider ohne Ausfallweg.</w:t>
      </w:r>
    </w:p>
    <w:p>
      <w:r>
        <w:br w:type="page"/>
      </w:r>
    </w:p>
    <w:p>
      <w:pPr>
        <w:pStyle w:val="Title"/>
      </w:pPr>
      <w:r>
        <w:t>1. Datenflüsse &amp; Verarbeitung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Datenumfang, Zweck und Wege bestimmen Risiko, Vertragsbedarf und Prüfaufwand.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Produkt-/Dateninventar, Architektur, Provider, Umgebungen.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Zweck + Datenart + System/Ort + Empfänger + Löschung; aktuell und belegbar.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Nur die Hauptdatenbank nennen; Support, Logs, Backups oder AI-Pfade auslassen.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Datenflussbild, DPA, Lösch- und Subprocessor-Aussagen.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Kundendaten verarbeitet Ihr Produkt tatsächlich — und wofür?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Daten sind zwingend erforderlich, welche optional?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Wo entstehen, speichern oder verändern sich personenbezogene Daten?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Daten verlassen die EU oder den EWR?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Gibt es Test-, Demo- oder Supportzugriffe auf echte Kundendaten?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dokumentieren Sie die wichtigsten Datenflüsse für Käufer, Datenschutz und Security Review?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2. AI-/LLM-Nutzung &amp; Transparenz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AI verändert Datenweitergabe, Fehlerbild und Verantwortlichkeit.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Feature-Liste, Modell/Provider, Prompt-Kontext, Training/Retention, Human Gates.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Pro Feature: Daten hinein, Provider, Ergebnis, Kontrolle, Grenze und Fallback.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„Wir nutzen AI sicher“ ohne Providerbedingungen oder reale Kontrollpunkte.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AI Disclosure und sichere Produkt-/Marketingclaims.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AI-/LLM-Funktionen sind Bestandteil des Produkts?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Kundendaten werden an AI-/LLM-Anbieter übermittelt?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Werden Prompts, Dateien, Antworten oder Nutzungsdaten zum Training verwendet?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erklären Sie Käufern den Unterschied zwischen AI-Funktion, Automatisierung und menschlicher Prüfung?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menschlichen Freigaben oder Kontrollpunkte gibt es bei riskanten AI-Ausgaben?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gehen Sie mit Halluzinationen, fehlerhaften Empfehlungen und unsicheren Ergebnissen um?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3. Zugriff, Rollen &amp; Berechtigungen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Unklare Rechte und privilegierte Zugriffe erhöhen Missbrauchs- und Insider-Risiko.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Rollenmodell, IAM-Konfiguration, Joiner/Mover/Leaver- und Supportprozess.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Rollen, Rechte, Genehmigung, MFA, Review, Logging und Entzug stimmen überein.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„Nur das Kernteam hat Zugriff“ als Ersatz für technische Begrenzung.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Zugriffsmatrix, Supportbeschreibung und Käuferfragebogen.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Rollen und Berechtigungen gibt es im Produkt?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Kann ein Kunde nachvollziehen, wer Zugriff auf welche Daten hat?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wird privilegierter Adminzugriff kontrolliert?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Gibt es MFA für Administrations- und Kundenkonten?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werden ausgeschiedene Mitarbeiter oder Dienstleister aus Systemen entfernt?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wird Supportzugriff begrenzt und protokolliert?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4. Logging, Nachvollziehbarkeit &amp; Betrieb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Ohne Logs und Betriebsweg sind Vorfälle und Zusagen nicht nachvollziehbar.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Logquellen, Aufbewahrung, Alerting, Incidentweg, Status-/SLA-Daten.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Ereignis, Quelle, Zugriff, Frist, Alarmierung und Verantwortlicher sind benannt.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Mehr Logging versprechen als ausgewertet oder geschützt werden kann.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Incident-, Monitoring- und Betriebsantworten.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sicherheitsrelevanten Ereignisse werden geloggt?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lange werden Logs aufbewahrt?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Können Kunden eigene Aktivitäten oder Exporte nachvollziehen?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erkennen Sie Missbrauch, ungewöhnliche Nutzung oder Datenabfluss?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werden Incidents intern dokumentiert und priorisiert?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Betriebskennzahlen oder Statusinformationen können Käufer erwarten?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5. Subprocessor, Hosting &amp; Lieferkette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Dritte bestimmen Standort, Verfügbarkeit, Datenschutz und Konzentrationsrisiko.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Aktuelle Providerliste, Zwecke, Regionen, Verträge, Evidence, Wechselprozess.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Jeder Provider mit Zweck, Daten, Ort, Kritikalität, Nachweis und Änderungsweg.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Nur Cloud-Hosting nennen; AI, E-Mail, Analytics und Supporttools vergessen.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Subprocessor-Liste, Due Diligence und Exit-Prioritäten.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Unterauftragsverarbeiter setzen Sie ein?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Für welchen Zweck wird jeder Subprocessor genutzt?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Wo befinden sich Hosting, Backups, Logging und AI-Verarbeitung?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AVV-/DPA- oder Sicherheitsnachweise liegen von wichtigen Providern vor?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informieren Sie Kunden über neue oder geänderte Subprocessor?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Provider wären kritisch, wenn sie ausfallen oder kompromittiert werden?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6. Löschung, Retention &amp; Datenportabilität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Kunden müssen wissen, was exportiert, gelöscht oder rechtmäßig behalten wird.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Datenklassen, Systeme, Fristen, Backupzyklen, Export-/Löschtests.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Frist und Ausnahme je Datenklasse; Owner, Ablauf und Nachweis sind praktisch prüfbar.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„Alles wird sofort gelöscht“ trotz Backups, Logs oder Aufbewahrungspflichten.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Offboarding, Retention Schedule und belastbare DPA-Antworten.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kann ein Kunde seine Daten exportieren?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funktioniert die Löschung nach Vertragsende?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Daten bleiben in Backups, Logs oder Abrechnungssystemen erhalten?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Retention-Fristen gelten für Produktdaten, Supportdaten, Logs und AI-Kontext?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wird Löschung technisch und organisatorisch nachgewiesen?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Gibt es klare Verantwortlichkeiten für Löschanfragen?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7. Security Baseline &amp; technische Maßnahmen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Käufer suchen eine glaubwürdige Mindestbasis, nicht Zertifikatsrhetorik.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Konfiguration, Backup-/Restore-Test, Secrets, Patch- und Vulnerability-Prozess.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Implementiert + Verantwortlicher + Frequenz + letzter Nachweis + bekannte Grenze.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Toolnamen oder geplante Maßnahmen als wirksame Kontrolle darstellen.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Security Overview und priorisierte technische Verbesserungen.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werden Daten bei Übertragung und Speicherung geschützt?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Backup- und Restore-Verfahren existieren?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werden Secrets, API-Keys und Zugangsdaten verwaltet?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Wie werden Abhängigkeiten, Libraries und Schwachstellen überwacht?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Gibt es einen Prozess für Security Updates und kritische Patches?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Mindestmaßnahmen können Sie heute glaubwürdig beschreiben — ohne mehr zu versprechen als umgesetzt ist?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8. Käuferfragen, Claims &amp; nächste Schritte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Warum Käufer fragt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Widersprüchliche Claims verzögern Sales und erhöhen Haftungs-/Vertrauensrisiko.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Benötigte Basis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Aktuelle Antworten, Claims, vorhandene Dokumente, Deal-Termine und Owner.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Belastbare Antwort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Offenheit wird priorisiert; jede externe Aussage hat Basis, Owner und Freigabestatus.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Gefährliche Abkürzung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Lücken verstecken oder mit „compliant/secure“ überdecken.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Späterer Nutzen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Grundlage für 3 nächste Schritte, sichere Sales-Antworten und Upgrade-Entscheidung.</w:t>
            </w:r>
          </w:p>
        </w:tc>
      </w:tr>
    </w:tbl>
    <w:p>
      <w:pPr>
        <w:pStyle w:val="Heading2"/>
      </w:pPr>
      <w:r>
        <w:t>Fragen markieren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Käuferfrage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Notiz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Security-Fragen eines B2B-Käufers können Sie heute sicher beantworten?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Fragen müssen Sie ehrlich als offen markieren?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Marketingclaims könnten zu weit gehen?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Unterlagen fehlen für einen ersten Procurement- oder Datenschutz-Review?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drei Lücken sollten vor dem nächsten Käufergespräch geschlossen oder mit einer klaren Zwischenantwort versehen werden?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Welcher nächste Trust-Schritt schafft den größten Verkaufsvorteil bei geringstem Risiko?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Aussage würden Sie einem Enterprise-Käufer schriftlich geben — und welche lieber nicht?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50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Welche Trust-Materialien sollten vor dem nächsten größeren Sales-Gespräch fertig sein?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T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Action Sheet —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In 15 Minuten von offenen Fragen zu drei machbaren Schritten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Auslöser / nächstes Käufergespräch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Zählfeld B / T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Wichtigstes Muster aus dem Scan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Größte Unsicherheit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Aussage, die wir bis zur Klärung nicht verwenden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</w:tbl>
    <w:p>
      <w:pPr>
        <w:pStyle w:val="Heading1"/>
      </w:pPr>
      <w:r>
        <w:t>Top 3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pPr>
        <w:pStyle w:val="Heading2"/>
      </w:pPr>
      <w:r>
        <w:t>Entscheidungsregel</w:t>
      </w:r>
    </w:p>
    <w:p>
      <w:r>
        <w:t>STOP: Externe Aussage aussetzen, wenn Datenweg, Providerbedingung oder Kontrollnachweis unbekannt ist. CAUTION: offen kennzeichnen und Termin/Owner setzen. GO: nur konkret, aktuell und belegbar antworten.</w:t>
      </w:r>
    </w:p>
    <w:p>
      <w:r>
        <w:t>Review-Termin: __________  Entscheider/Freigabe: __________  Käuferantwort aktualisiert am: __________</w:t>
      </w:r>
    </w:p>
    <w:p>
      <w:r>
        <w:br w:type="page"/>
      </w:r>
    </w:p>
    <w:p>
      <w:pPr>
        <w:pStyle w:val="Title"/>
      </w:pPr>
      <w:r>
        <w:t>Ausgefülltes fiktives Beispiel — CloudKite AI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35B779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FIKTIV — kein reales Unternehmen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Auslöser / nächstes Käufergespräch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Vendor Review mit MedicoWorks, 30.07.2026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Zählfeld B / T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18 / 17 / 13 / 2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Wichtigstes Muster aus dem Scan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Datenflüsse zu LLM-Provider und Supportzugriff sind nicht zusammengeführt.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Größte Unsicherheit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Ob Prompt-/Output-Retention beim aktuellen Providervertrag deaktiviert ist.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Aussage, die wir bis zur Klärung nicht verwenden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„EU-only processing“</w:t>
            </w:r>
          </w:p>
        </w:tc>
      </w:tr>
    </w:tbl>
    <w:p>
      <w:pPr>
        <w:pStyle w:val="Heading1"/>
      </w:pPr>
      <w:r>
        <w:t>Top 3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AI-Retention im aktuellen Providervertrag unklar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Eine falsche Aussage zur Nutzung von Prompts kann den Vendor Review stoppen.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und Adminsetting gemeinsam prüfen; freigabefähige Aussage formulieren.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17.07.2026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Aussage durch CTO geprüft und im Antwortbestand aktualisiert.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v3.2 + datierter Screenshot des Adminsettings.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Supportzugriff nicht durchgängig protokolliert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Unbelegter privilegierter Zugriff ist ein konkreter Käufer- und Incident-Risikopunkt.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JIT-Zugriff mit Ticket-ID in Staging testen und Arbeitsanweisung ergänzen.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Jonas / Engineering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22.07.2026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erfolgreich; Ticket-, Freigabe- und Logkette nachvollziehbar.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TEST-LOG-014 + Arbeitsanweisung SUP-02 v0.3.</w:t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Löschung in Backups nicht erklärt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Ein pauschales Löschversprechen wäre ohne Backup-Ausnahme nicht belastbar.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Backupzyklen und Ausnahmen dokumentieren; Käuferantwort begrenzen.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24.07.2026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Retention-Antwort freigegeben und in DPA-FAQ übernommen.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Retention-Tabelle v0.1 + Reviewnotiz 2026-07-24.</w:t>
            </w:r>
          </w:p>
        </w:tc>
      </w:tr>
    </w:tbl>
    <w:p/>
    <w:p>
      <w:pPr>
        <w:pStyle w:val="Heading2"/>
      </w:pPr>
      <w:r>
        <w:t>Entscheidungsregel</w:t>
      </w:r>
    </w:p>
    <w:p>
      <w:r>
        <w:t>STOP: Externe Aussage aussetzen, wenn Datenweg, Providerbedingung oder Kontrollnachweis unbekannt ist. CAUTION: offen kennzeichnen und Termin/Owner setzen. GO: nur konkret, aktuell und belegbar antworten.</w:t>
      </w:r>
    </w:p>
    <w:p>
      <w:r>
        <w:t>Ergebnis nach 30 Tagen: AI-Disclosure v0.1, protokollierter Supportzugriff und belastbare Retention-Antwort; kein Compliance-Claim.</w:t>
      </w:r>
    </w:p>
    <w:p>
      <w:r>
        <w:br w:type="page"/>
      </w:r>
    </w:p>
    <w:p>
      <w:pPr>
        <w:pStyle w:val="Title"/>
      </w:pPr>
      <w:r>
        <w:t>Wenn Sie weitergehen möchten</w:t>
      </w:r>
    </w:p>
    <w:p>
      <w:r>
        <w:t>Freiwillige Orientierung: Wenn Ihre drei Schritte vor allem Scope, Verantwortlichkeiten und belastbare Arbeitsstrukturen betreffen, ist das ISMS Scope &amp; Governance Starter Kit mit einem vorgesehenen Preis von 199 EUR möglicherweise ein passender Self-Service-Schritt. Dieser VERSION 1.0-Review-Kandidat behauptet keine aktuelle Verfügbarkeit. Das Kit strukturiert den Einstieg, ersetzt aber weder fachliche Einzelfallprüfung noch Beratung.</w:t>
      </w:r>
    </w:p>
    <w:p>
      <w:pPr>
        <w:pStyle w:val="Heading1"/>
      </w:pPr>
      <w:r>
        <w:t>Vor dem Teilen</w:t>
      </w:r>
    </w:p>
    <w:p>
      <w:pPr>
        <w:pStyle w:val="ListBullet"/>
      </w:pPr>
      <w:r>
        <w:t>Nur bestätigte Aussagen extern verwenden.</w:t>
      </w:r>
    </w:p>
    <w:p>
      <w:pPr>
        <w:pStyle w:val="ListBullet"/>
      </w:pPr>
      <w:r>
        <w:t>Offene Punkte sichtbar lassen; nicht kosmetisch schließen.</w:t>
      </w:r>
    </w:p>
    <w:p>
      <w:pPr>
        <w:pStyle w:val="ListBullet"/>
      </w:pPr>
      <w:r>
        <w:t>Vertrauliche Architektur-, Kunden- und Zugangsdaten redigieren.</w:t>
      </w:r>
    </w:p>
    <w:p>
      <w:pPr>
        <w:pStyle w:val="ListBullet"/>
      </w:pPr>
      <w:r>
        <w:t>Owner und Aktualisierungsdatum ergänzen.</w:t>
      </w:r>
    </w:p>
    <w:p>
      <w:r>
        <w:t>A-R-C Andreas Rühl Consulting · SaaS Enablement Consulting · a.ruehl@a-r-c.me · www.a-r-c.me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50 Käuferfragen → Unsicherheiten erkennen → 3 nächste Schritte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de-DE</dc:language>
</cp:coreProperties>
</file>