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Ausgefülltes fiktives Beispiel — CloudKite AI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35B779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FIKTIV — kein reales Unternehmen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Auslöser / nächstes Käufergespräch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Vendor Review mit MedicoWorks, 30.07.2026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Zählfeld B / T / O / N/A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18 / 17 / 13 / 2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Wichtigstes Muster aus dem Scan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Datenflüsse zu LLM-Provider und Supportzugriff sind nicht zusammengeführt.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Größte Unsicherheit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Ob Prompt-/Output-Retention beim aktuellen Providervertrag deaktiviert ist.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Aussage, die wir bis zur Klärung nicht verwenden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„EU-only processing“</w:t>
            </w:r>
          </w:p>
        </w:tc>
      </w:tr>
    </w:tbl>
    <w:p>
      <w:pPr>
        <w:pStyle w:val="Heading1"/>
      </w:pPr>
      <w:r>
        <w:t>Top 3 nächste Schritte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1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AI-Retention im aktuellen Providervertrag unklar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Eine falsche Aussage zur Nutzung von Prompts kann den Vendor Review stoppen.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DPA und Adminsetting gemeinsam prüfen; freigabefähige Aussage formulieren.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Mira / CTO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17.07.2026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Aussage durch CTO geprüft und im Antwortbestand aktualisiert.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DPA v3.2 + datierter Screenshot des Adminsettings.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2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Supportzugriff nicht durchgängig protokolliert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Unbelegter privilegierter Zugriff ist ein konkreter Käufer- und Incident-Risikopunkt.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JIT-Zugriff mit Ticket-ID in Staging testen und Arbeitsanweisung ergänzen.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Jonas / Engineering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22.07.2026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 erfolgreich; Ticket-, Freigabe- und Logkette nachvollziehbar.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TEST-LOG-014 + Arbeitsanweisung SUP-02 v0.3.</w:t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3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Löschung in Backups nicht erklärt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Ein pauschales Löschversprechen wäre ohne Backup-Ausnahme nicht belastbar.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Backupzyklen und Ausnahmen dokumentieren; Käuferantwort begrenzen.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Mira / CTO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24.07.2026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Retention-Antwort freigegeben und in DPA-FAQ übernommen.</w:t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t>Retention-Tabelle v0.1 + Reviewnotiz 2026-07-24.</w:t>
            </w:r>
          </w:p>
        </w:tc>
      </w:tr>
    </w:tbl>
    <w:p/>
    <w:p>
      <w:pPr>
        <w:pStyle w:val="Heading2"/>
      </w:pPr>
      <w:r>
        <w:t>Entscheidungsregel</w:t>
      </w:r>
    </w:p>
    <w:p>
      <w:r>
        <w:t>STOP: Externe Aussage aussetzen, wenn Datenweg, Providerbedingung oder Kontrollnachweis unbekannt ist. CAUTION: offen kennzeichnen und Termin/Owner setzen. GO: nur konkret, aktuell und belegbar antworten.</w:t>
      </w:r>
    </w:p>
    <w:p>
      <w:r>
        <w:t>Ergebnis nach 30 Tagen: AI-Disclosure v0.1, protokollierter Supportzugriff und belastbare Retention-Antwort; kein Compliance-Claim.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79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VERSION 1.0 • Release v1.0 • release version  |  a.ruehl@a-r-c.me  |  www.a-r-c.me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rPr>
        <w:color w:val="102A43"/>
      </w:rPr>
      <w:t>A–R–C  |  SaaS Enablement Consulting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Liberation Sans" w:hAnsi="Liberation Sans"/>
      <w:color w:val="243B53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102A43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00A6C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 w:ascii="Liberation Sans" w:hAnsi="Liberation Sans"/>
      <w:b/>
      <w:bCs/>
      <w:color w:val="35B779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160"/>
      <w:contextualSpacing/>
    </w:pPr>
    <w:rPr>
      <w:rFonts w:asciiTheme="majorHAnsi" w:eastAsiaTheme="majorEastAsia" w:hAnsiTheme="majorHAnsi" w:cstheme="majorBidi" w:ascii="Liberation Sans" w:hAnsi="Liberation Sans"/>
      <w:b/>
      <w:color w:val="102A43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ISMS Governance Readiness Navigator v1.0</dc:title>
  <dc:subject>CloudKite AI</dc:subject>
  <dc:creator>python-docx</dc:creator>
  <cp:keywords/>
  <dc:description>Release-clean buyer version</dc:description>
  <cp:lastModifiedBy/>
  <cp:revision>1</cp:revision>
  <dcterms:created xsi:type="dcterms:W3CDTF">2026-07-12T00:00:00Z</dcterms:created>
  <dcterms:modified xsi:type="dcterms:W3CDTF">2026-07-12T00:00:00Z</dcterms:modified>
  <cp:category/>
  <dc:language>de-DE</dc:language>
</cp:coreProperties>
</file>